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E4A0" w14:textId="77777777" w:rsidR="002B7E90" w:rsidRDefault="00000000">
      <w:pPr>
        <w:widowControl w:val="0"/>
        <w:pBdr>
          <w:top w:val="nil"/>
          <w:left w:val="nil"/>
          <w:bottom w:val="nil"/>
          <w:right w:val="nil"/>
          <w:between w:val="nil"/>
        </w:pBdr>
        <w:jc w:val="center"/>
        <w:rPr>
          <w:rFonts w:ascii="Helvetica Neue" w:eastAsia="Helvetica Neue" w:hAnsi="Helvetica Neue" w:cs="Helvetica Neue"/>
          <w:b/>
          <w:color w:val="4E5758"/>
        </w:rPr>
      </w:pPr>
      <w:r>
        <w:rPr>
          <w:rFonts w:ascii="Helvetica Neue" w:eastAsia="Helvetica Neue" w:hAnsi="Helvetica Neue" w:cs="Helvetica Neue"/>
          <w:b/>
          <w:color w:val="4E5758"/>
        </w:rPr>
        <w:t xml:space="preserve">STANDING ORDERS FOR NALOXONE DISTRIBUTION FOR OPIOID OVERDOSE PREVENTION </w:t>
      </w:r>
    </w:p>
    <w:p w14:paraId="6562A4AA" w14:textId="77777777" w:rsidR="002B7E90" w:rsidRDefault="00000000">
      <w:pPr>
        <w:widowControl w:val="0"/>
        <w:pBdr>
          <w:top w:val="nil"/>
          <w:left w:val="nil"/>
          <w:bottom w:val="nil"/>
          <w:right w:val="nil"/>
          <w:between w:val="nil"/>
        </w:pBdr>
        <w:spacing w:before="253"/>
        <w:ind w:left="13"/>
        <w:rPr>
          <w:rFonts w:ascii="Helvetica Neue" w:eastAsia="Helvetica Neue" w:hAnsi="Helvetica Neue" w:cs="Helvetica Neue"/>
          <w:b/>
          <w:color w:val="4E5758"/>
          <w:sz w:val="22"/>
          <w:szCs w:val="22"/>
        </w:rPr>
      </w:pPr>
      <w:r>
        <w:rPr>
          <w:rFonts w:ascii="Helvetica Neue" w:eastAsia="Helvetica Neue" w:hAnsi="Helvetica Neue" w:cs="Helvetica Neue"/>
          <w:b/>
          <w:color w:val="4E5758"/>
          <w:sz w:val="22"/>
          <w:szCs w:val="22"/>
        </w:rPr>
        <w:t xml:space="preserve">***EMS Agency*** Order </w:t>
      </w:r>
    </w:p>
    <w:p w14:paraId="14540618" w14:textId="48249229" w:rsidR="002B7E90" w:rsidRDefault="00000000">
      <w:pPr>
        <w:widowControl w:val="0"/>
        <w:pBdr>
          <w:top w:val="nil"/>
          <w:left w:val="nil"/>
          <w:bottom w:val="nil"/>
          <w:right w:val="nil"/>
          <w:between w:val="nil"/>
        </w:pBdr>
        <w:spacing w:before="1" w:line="233" w:lineRule="auto"/>
        <w:ind w:left="9" w:right="300" w:firstLine="2"/>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Naloxone is indicated for the reversal of opioid overdose induced by natural or synthetic opioids in the setting of respiratory depression or unresponsiveness. It should not be given to anyone with a known allergy to naloxone hydrochloride. It may be delivered intravenously (IV), intramuscularly (IM), intraosseous (IO) or intranasally (IN).</w:t>
      </w:r>
    </w:p>
    <w:p w14:paraId="767A959E" w14:textId="77777777" w:rsidR="002B7E90" w:rsidRDefault="00000000">
      <w:pPr>
        <w:widowControl w:val="0"/>
        <w:pBdr>
          <w:top w:val="nil"/>
          <w:left w:val="nil"/>
          <w:bottom w:val="nil"/>
          <w:right w:val="nil"/>
          <w:between w:val="nil"/>
        </w:pBdr>
        <w:spacing w:before="243" w:line="233" w:lineRule="auto"/>
        <w:ind w:left="3" w:right="613" w:hanging="3"/>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This standing order covers the possession and distribution of naloxone, which may include naloxone hydrochloride, intramuscular syringes, injection supplies, nasal atomizers, or commercial naloxone auto-injectors and any other naloxone product approved for opioid overdose treatment.</w:t>
      </w:r>
    </w:p>
    <w:p w14:paraId="57CAB280" w14:textId="77777777" w:rsidR="002B7E90" w:rsidRDefault="00000000">
      <w:pPr>
        <w:widowControl w:val="0"/>
        <w:pBdr>
          <w:top w:val="nil"/>
          <w:left w:val="nil"/>
          <w:bottom w:val="nil"/>
          <w:right w:val="nil"/>
          <w:between w:val="nil"/>
        </w:pBdr>
        <w:spacing w:before="242" w:line="233" w:lineRule="auto"/>
        <w:ind w:left="3" w:right="312" w:hanging="3"/>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This standing order authorizes all employees or agents of ***EMS Agency*** in the state of Colorado to possess, administer and distribute naloxone kits in accordance with the attached naloxone protocol, to any of the following: </w:t>
      </w:r>
    </w:p>
    <w:p w14:paraId="162ECC1E" w14:textId="3C3B4075" w:rsidR="002B7E90" w:rsidRDefault="00000000">
      <w:pPr>
        <w:widowControl w:val="0"/>
        <w:numPr>
          <w:ilvl w:val="0"/>
          <w:numId w:val="1"/>
        </w:numPr>
        <w:pBdr>
          <w:top w:val="nil"/>
          <w:left w:val="nil"/>
          <w:bottom w:val="nil"/>
          <w:right w:val="nil"/>
          <w:between w:val="nil"/>
        </w:pBdr>
        <w:spacing w:before="120"/>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A person at risk of experiencing an opioid overdose. </w:t>
      </w:r>
    </w:p>
    <w:p w14:paraId="1C5958CB" w14:textId="3E07F793" w:rsidR="002B7E90" w:rsidRDefault="00000000">
      <w:pPr>
        <w:widowControl w:val="0"/>
        <w:numPr>
          <w:ilvl w:val="0"/>
          <w:numId w:val="1"/>
        </w:numPr>
        <w:pBdr>
          <w:top w:val="nil"/>
          <w:left w:val="nil"/>
          <w:bottom w:val="nil"/>
          <w:right w:val="nil"/>
          <w:between w:val="nil"/>
        </w:pBdr>
        <w:spacing w:line="233" w:lineRule="auto"/>
        <w:ind w:right="583"/>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A family member, friend, or other person in a position to assist a person at risk of experiencing an opioid related overdose. </w:t>
      </w:r>
    </w:p>
    <w:p w14:paraId="2AB01892" w14:textId="77777777" w:rsidR="002B7E90" w:rsidRDefault="00000000">
      <w:pPr>
        <w:widowControl w:val="0"/>
        <w:numPr>
          <w:ilvl w:val="0"/>
          <w:numId w:val="1"/>
        </w:numPr>
        <w:pBdr>
          <w:top w:val="nil"/>
          <w:left w:val="nil"/>
          <w:bottom w:val="nil"/>
          <w:right w:val="nil"/>
          <w:between w:val="nil"/>
        </w:pBdr>
        <w:spacing w:before="5"/>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An employee or volunteer of a harm reduction organization.</w:t>
      </w:r>
    </w:p>
    <w:p w14:paraId="40AB750D" w14:textId="77777777" w:rsidR="002B7E90" w:rsidRDefault="00000000">
      <w:pPr>
        <w:widowControl w:val="0"/>
        <w:numPr>
          <w:ilvl w:val="0"/>
          <w:numId w:val="1"/>
        </w:numPr>
        <w:pBdr>
          <w:top w:val="nil"/>
          <w:left w:val="nil"/>
          <w:bottom w:val="nil"/>
          <w:right w:val="nil"/>
          <w:between w:val="nil"/>
        </w:pBdr>
        <w:spacing w:before="5"/>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A patient experiencing a known or suspected opioid -related overdose.</w:t>
      </w:r>
    </w:p>
    <w:p w14:paraId="0CB64FAA" w14:textId="77777777" w:rsidR="002B7E90" w:rsidRDefault="00000000">
      <w:pPr>
        <w:widowControl w:val="0"/>
        <w:pBdr>
          <w:top w:val="nil"/>
          <w:left w:val="nil"/>
          <w:bottom w:val="nil"/>
          <w:right w:val="nil"/>
          <w:between w:val="nil"/>
        </w:pBdr>
        <w:spacing w:before="194"/>
        <w:ind w:left="5"/>
        <w:rPr>
          <w:rFonts w:ascii="Helvetica Neue" w:eastAsia="Helvetica Neue" w:hAnsi="Helvetica Neue" w:cs="Helvetica Neue"/>
          <w:b/>
          <w:color w:val="4E5758"/>
          <w:sz w:val="22"/>
          <w:szCs w:val="22"/>
        </w:rPr>
      </w:pPr>
      <w:r>
        <w:rPr>
          <w:rFonts w:ascii="Helvetica Neue" w:eastAsia="Helvetica Neue" w:hAnsi="Helvetica Neue" w:cs="Helvetica Neue"/>
          <w:b/>
          <w:color w:val="4E5758"/>
          <w:sz w:val="22"/>
          <w:szCs w:val="22"/>
        </w:rPr>
        <w:t xml:space="preserve">Order to Distribute </w:t>
      </w:r>
    </w:p>
    <w:p w14:paraId="491ADB5D" w14:textId="77777777" w:rsidR="002B7E90" w:rsidRDefault="00000000">
      <w:pPr>
        <w:widowControl w:val="0"/>
        <w:pBdr>
          <w:top w:val="nil"/>
          <w:left w:val="nil"/>
          <w:bottom w:val="nil"/>
          <w:right w:val="nil"/>
          <w:between w:val="nil"/>
        </w:pBdr>
        <w:spacing w:before="1" w:line="233" w:lineRule="auto"/>
        <w:ind w:left="9" w:right="168"/>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Upon satisfactory assessment, as described in the attached protocol, that the person to receive the naloxone is a person meeting one of the four criteria described above, </w:t>
      </w:r>
      <w:r>
        <w:rPr>
          <w:rFonts w:ascii="Helvetica Neue" w:eastAsia="Helvetica Neue" w:hAnsi="Helvetica Neue" w:cs="Helvetica Neue"/>
          <w:b/>
          <w:color w:val="4E5758"/>
          <w:sz w:val="19"/>
          <w:szCs w:val="19"/>
        </w:rPr>
        <w:t xml:space="preserve">and </w:t>
      </w:r>
      <w:r>
        <w:rPr>
          <w:rFonts w:ascii="Helvetica Neue" w:eastAsia="Helvetica Neue" w:hAnsi="Helvetica Neue" w:cs="Helvetica Neue"/>
          <w:color w:val="4E5758"/>
          <w:sz w:val="19"/>
          <w:szCs w:val="19"/>
        </w:rPr>
        <w:t xml:space="preserve">upon completion of education of that person regarding recognizing and responding to suspected opioid overdose, distribute one naloxone kit. </w:t>
      </w:r>
    </w:p>
    <w:p w14:paraId="265E57E0" w14:textId="77777777" w:rsidR="002B7E90" w:rsidRDefault="00000000">
      <w:pPr>
        <w:widowControl w:val="0"/>
        <w:pBdr>
          <w:top w:val="nil"/>
          <w:left w:val="nil"/>
          <w:bottom w:val="nil"/>
          <w:right w:val="nil"/>
          <w:between w:val="nil"/>
        </w:pBdr>
        <w:spacing w:before="240"/>
        <w:ind w:left="13"/>
        <w:rPr>
          <w:rFonts w:ascii="Helvetica Neue" w:eastAsia="Helvetica Neue" w:hAnsi="Helvetica Neue" w:cs="Helvetica Neue"/>
          <w:b/>
          <w:color w:val="4E5758"/>
          <w:sz w:val="22"/>
          <w:szCs w:val="22"/>
        </w:rPr>
      </w:pPr>
      <w:r>
        <w:rPr>
          <w:rFonts w:ascii="Helvetica Neue" w:eastAsia="Helvetica Neue" w:hAnsi="Helvetica Neue" w:cs="Helvetica Neue"/>
          <w:b/>
          <w:color w:val="4E5758"/>
          <w:sz w:val="22"/>
          <w:szCs w:val="22"/>
        </w:rPr>
        <w:t>Directions for Use (Non-911 response/prevention)</w:t>
      </w:r>
    </w:p>
    <w:p w14:paraId="0C5E0518" w14:textId="77777777" w:rsidR="002B7E90" w:rsidRDefault="00000000">
      <w:pPr>
        <w:widowControl w:val="0"/>
        <w:numPr>
          <w:ilvl w:val="0"/>
          <w:numId w:val="5"/>
        </w:numPr>
        <w:pBdr>
          <w:top w:val="nil"/>
          <w:left w:val="nil"/>
          <w:bottom w:val="nil"/>
          <w:right w:val="nil"/>
          <w:between w:val="nil"/>
        </w:pBdr>
        <w:spacing w:line="233" w:lineRule="auto"/>
        <w:ind w:right="244"/>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Call 911 as soon as possible for a person suspected of an opioid overdose with respiratory depression or unresponsiveness, and initiate rescue breathing or CPR. </w:t>
      </w:r>
    </w:p>
    <w:p w14:paraId="0DF61F98" w14:textId="77777777" w:rsidR="002B7E90" w:rsidRDefault="00000000">
      <w:pPr>
        <w:widowControl w:val="0"/>
        <w:numPr>
          <w:ilvl w:val="0"/>
          <w:numId w:val="5"/>
        </w:numPr>
        <w:pBdr>
          <w:top w:val="nil"/>
          <w:left w:val="nil"/>
          <w:bottom w:val="nil"/>
          <w:right w:val="nil"/>
          <w:between w:val="nil"/>
        </w:pBdr>
        <w:spacing w:before="5"/>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Administer naloxone according to package insert/ manufacturer instructions. </w:t>
      </w:r>
    </w:p>
    <w:p w14:paraId="3626D4B3" w14:textId="77777777" w:rsidR="002B7E90" w:rsidRDefault="00000000">
      <w:pPr>
        <w:widowControl w:val="0"/>
        <w:numPr>
          <w:ilvl w:val="0"/>
          <w:numId w:val="5"/>
        </w:numPr>
        <w:pBdr>
          <w:top w:val="nil"/>
          <w:left w:val="nil"/>
          <w:bottom w:val="nil"/>
          <w:right w:val="nil"/>
          <w:between w:val="nil"/>
        </w:pBdr>
        <w:spacing w:line="233" w:lineRule="auto"/>
        <w:ind w:right="244"/>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If there is no response after 3 minutes, administer a second dose of naloxone. If there is a continued lack of response, the dose may be repeated every 3 minutes until a clinical response or emergency help arrives.  </w:t>
      </w:r>
    </w:p>
    <w:p w14:paraId="0ABA9FA3" w14:textId="524D0520" w:rsidR="002B7E90" w:rsidRDefault="00000000">
      <w:pPr>
        <w:widowControl w:val="0"/>
        <w:numPr>
          <w:ilvl w:val="0"/>
          <w:numId w:val="5"/>
        </w:numPr>
        <w:pBdr>
          <w:top w:val="nil"/>
          <w:left w:val="nil"/>
          <w:bottom w:val="nil"/>
          <w:right w:val="nil"/>
          <w:between w:val="nil"/>
        </w:pBdr>
        <w:spacing w:before="5" w:line="233" w:lineRule="auto"/>
        <w:ind w:right="1030"/>
        <w:rPr>
          <w:rFonts w:ascii="Helvetica Neue" w:eastAsia="Helvetica Neue" w:hAnsi="Helvetica Neue" w:cs="Helvetica Neue"/>
          <w:b/>
          <w:color w:val="4E5758"/>
          <w:sz w:val="22"/>
          <w:szCs w:val="22"/>
        </w:rPr>
      </w:pPr>
      <w:r>
        <w:rPr>
          <w:rFonts w:ascii="Helvetica Neue" w:eastAsia="Helvetica Neue" w:hAnsi="Helvetica Neue" w:cs="Helvetica Neue"/>
          <w:color w:val="4E5758"/>
          <w:sz w:val="19"/>
          <w:szCs w:val="19"/>
        </w:rPr>
        <w:t>Continue rescue breathing and monitor respiration</w:t>
      </w:r>
      <w:r w:rsidR="00C54CB3">
        <w:rPr>
          <w:rFonts w:ascii="Helvetica Neue" w:eastAsia="Helvetica Neue" w:hAnsi="Helvetica Neue" w:cs="Helvetica Neue"/>
          <w:color w:val="4E5758"/>
          <w:sz w:val="19"/>
          <w:szCs w:val="19"/>
        </w:rPr>
        <w:t>s</w:t>
      </w:r>
      <w:r>
        <w:rPr>
          <w:rFonts w:ascii="Helvetica Neue" w:eastAsia="Helvetica Neue" w:hAnsi="Helvetica Neue" w:cs="Helvetica Neue"/>
          <w:color w:val="4E5758"/>
          <w:sz w:val="19"/>
          <w:szCs w:val="19"/>
        </w:rPr>
        <w:t xml:space="preserve"> and responsiveness of the naloxone recipient until the person stabilizes or emergency help arrives. </w:t>
      </w:r>
    </w:p>
    <w:p w14:paraId="348AE411" w14:textId="77777777" w:rsidR="002B7E90" w:rsidRDefault="00000000">
      <w:pPr>
        <w:widowControl w:val="0"/>
        <w:pBdr>
          <w:top w:val="nil"/>
          <w:left w:val="nil"/>
          <w:bottom w:val="nil"/>
          <w:right w:val="nil"/>
          <w:between w:val="nil"/>
        </w:pBdr>
        <w:spacing w:before="194"/>
        <w:rPr>
          <w:rFonts w:ascii="Helvetica Neue" w:eastAsia="Helvetica Neue" w:hAnsi="Helvetica Neue" w:cs="Helvetica Neue"/>
          <w:b/>
          <w:color w:val="4E5758"/>
          <w:sz w:val="22"/>
          <w:szCs w:val="22"/>
        </w:rPr>
      </w:pPr>
      <w:r>
        <w:rPr>
          <w:rFonts w:ascii="Helvetica Neue" w:eastAsia="Helvetica Neue" w:hAnsi="Helvetica Neue" w:cs="Helvetica Neue"/>
          <w:b/>
          <w:color w:val="4E5758"/>
          <w:sz w:val="22"/>
          <w:szCs w:val="22"/>
        </w:rPr>
        <w:t xml:space="preserve">Order to Distribute </w:t>
      </w:r>
    </w:p>
    <w:p w14:paraId="4F5C2E53" w14:textId="77777777" w:rsidR="002B7E90" w:rsidRDefault="00000000">
      <w:pPr>
        <w:widowControl w:val="0"/>
        <w:pBdr>
          <w:top w:val="nil"/>
          <w:left w:val="nil"/>
          <w:bottom w:val="nil"/>
          <w:right w:val="nil"/>
          <w:between w:val="nil"/>
        </w:pBdr>
        <w:spacing w:before="5" w:line="233" w:lineRule="auto"/>
        <w:ind w:right="1030"/>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Expiration Date: Until rescinded by Medical Direction</w:t>
      </w:r>
    </w:p>
    <w:p w14:paraId="1E6A114D" w14:textId="77777777" w:rsidR="002B7E90" w:rsidRDefault="002B7E90">
      <w:pPr>
        <w:widowControl w:val="0"/>
        <w:pBdr>
          <w:top w:val="nil"/>
          <w:left w:val="nil"/>
          <w:bottom w:val="nil"/>
          <w:right w:val="nil"/>
          <w:between w:val="nil"/>
        </w:pBdr>
        <w:spacing w:before="5" w:line="233" w:lineRule="auto"/>
        <w:ind w:right="1030"/>
        <w:rPr>
          <w:rFonts w:ascii="Helvetica Neue" w:eastAsia="Helvetica Neue" w:hAnsi="Helvetica Neue" w:cs="Helvetica Neue"/>
          <w:b/>
          <w:color w:val="4E5758"/>
          <w:sz w:val="22"/>
          <w:szCs w:val="22"/>
        </w:rPr>
      </w:pPr>
    </w:p>
    <w:p w14:paraId="66268712" w14:textId="77777777" w:rsidR="002B7E90" w:rsidRDefault="002B7E90">
      <w:pPr>
        <w:widowControl w:val="0"/>
        <w:pBdr>
          <w:top w:val="nil"/>
          <w:left w:val="nil"/>
          <w:bottom w:val="nil"/>
          <w:right w:val="nil"/>
          <w:between w:val="nil"/>
        </w:pBdr>
        <w:rPr>
          <w:rFonts w:ascii="Helvetica Neue" w:eastAsia="Helvetica Neue" w:hAnsi="Helvetica Neue" w:cs="Helvetica Neue"/>
          <w:b/>
          <w:color w:val="4E5758"/>
          <w:sz w:val="22"/>
          <w:szCs w:val="22"/>
        </w:rPr>
      </w:pPr>
    </w:p>
    <w:p w14:paraId="6F189E0B" w14:textId="77777777" w:rsidR="002B7E90" w:rsidRDefault="002B7E90">
      <w:pPr>
        <w:widowControl w:val="0"/>
        <w:pBdr>
          <w:top w:val="nil"/>
          <w:left w:val="nil"/>
          <w:bottom w:val="nil"/>
          <w:right w:val="nil"/>
          <w:between w:val="nil"/>
        </w:pBdr>
        <w:rPr>
          <w:rFonts w:ascii="Helvetica Neue" w:eastAsia="Helvetica Neue" w:hAnsi="Helvetica Neue" w:cs="Helvetica Neue"/>
          <w:b/>
          <w:color w:val="4E5758"/>
          <w:sz w:val="26"/>
          <w:szCs w:val="26"/>
        </w:rPr>
      </w:pPr>
    </w:p>
    <w:tbl>
      <w:tblPr>
        <w:tblStyle w:val="a"/>
        <w:tblW w:w="10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7"/>
        <w:gridCol w:w="5417"/>
      </w:tblGrid>
      <w:tr w:rsidR="002B7E90" w14:paraId="5AAD042A" w14:textId="77777777">
        <w:tc>
          <w:tcPr>
            <w:tcW w:w="5417" w:type="dxa"/>
            <w:tcBorders>
              <w:top w:val="single" w:sz="4" w:space="0" w:color="000000"/>
              <w:left w:val="nil"/>
              <w:bottom w:val="nil"/>
              <w:right w:val="nil"/>
            </w:tcBorders>
          </w:tcPr>
          <w:p w14:paraId="1E740A67" w14:textId="77777777" w:rsidR="002B7E90" w:rsidRDefault="00000000">
            <w:pPr>
              <w:widowControl w:val="0"/>
              <w:pBdr>
                <w:top w:val="none" w:sz="0" w:space="0" w:color="000000"/>
                <w:left w:val="none" w:sz="0" w:space="0" w:color="000000"/>
                <w:bottom w:val="none" w:sz="0" w:space="0" w:color="000000"/>
                <w:right w:val="none" w:sz="0" w:space="0" w:color="000000"/>
                <w:between w:val="none" w:sz="0" w:space="0" w:color="000000"/>
              </w:pBdr>
              <w:ind w:left="247"/>
              <w:rPr>
                <w:rFonts w:ascii="Helvetica Neue" w:eastAsia="Helvetica Neue" w:hAnsi="Helvetica Neue" w:cs="Helvetica Neue"/>
                <w:color w:val="4E5758"/>
                <w:sz w:val="22"/>
                <w:szCs w:val="22"/>
              </w:rPr>
            </w:pPr>
            <w:r>
              <w:rPr>
                <w:rFonts w:ascii="Helvetica Neue" w:eastAsia="Helvetica Neue" w:hAnsi="Helvetica Neue" w:cs="Helvetica Neue"/>
                <w:color w:val="4E5758"/>
                <w:sz w:val="22"/>
                <w:szCs w:val="22"/>
              </w:rPr>
              <w:t>NAME OF MEDICAL PROVIDER</w:t>
            </w:r>
          </w:p>
          <w:p w14:paraId="64BFD560" w14:textId="77777777" w:rsidR="002B7E90" w:rsidRDefault="00000000">
            <w:pPr>
              <w:widowControl w:val="0"/>
              <w:pBdr>
                <w:top w:val="none" w:sz="0" w:space="0" w:color="000000"/>
                <w:left w:val="none" w:sz="0" w:space="0" w:color="000000"/>
                <w:bottom w:val="none" w:sz="0" w:space="0" w:color="000000"/>
                <w:right w:val="none" w:sz="0" w:space="0" w:color="000000"/>
                <w:between w:val="none" w:sz="0" w:space="0" w:color="000000"/>
              </w:pBdr>
              <w:ind w:left="247"/>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Title of Medical Provider</w:t>
            </w:r>
          </w:p>
          <w:p w14:paraId="2E69BA6A" w14:textId="77777777" w:rsidR="002B7E90" w:rsidRDefault="00000000">
            <w:pPr>
              <w:widowControl w:val="0"/>
              <w:pBdr>
                <w:top w:val="none" w:sz="0" w:space="0" w:color="000000"/>
                <w:left w:val="none" w:sz="0" w:space="0" w:color="000000"/>
                <w:bottom w:val="none" w:sz="0" w:space="0" w:color="000000"/>
                <w:right w:val="none" w:sz="0" w:space="0" w:color="000000"/>
                <w:between w:val="none" w:sz="0" w:space="0" w:color="000000"/>
              </w:pBdr>
              <w:ind w:left="247"/>
              <w:rPr>
                <w:rFonts w:ascii="Helvetica Neue" w:eastAsia="Helvetica Neue" w:hAnsi="Helvetica Neue" w:cs="Helvetica Neue"/>
                <w:color w:val="4E5758"/>
                <w:sz w:val="16"/>
                <w:szCs w:val="16"/>
              </w:rPr>
            </w:pPr>
            <w:r>
              <w:rPr>
                <w:rFonts w:ascii="Helvetica Neue" w:eastAsia="Helvetica Neue" w:hAnsi="Helvetica Neue" w:cs="Helvetica Neue"/>
                <w:color w:val="4E5758"/>
                <w:sz w:val="16"/>
                <w:szCs w:val="16"/>
              </w:rPr>
              <w:t>License number</w:t>
            </w:r>
          </w:p>
          <w:p w14:paraId="2921359F" w14:textId="77777777" w:rsidR="002B7E90" w:rsidRDefault="00000000">
            <w:pPr>
              <w:widowControl w:val="0"/>
              <w:pBdr>
                <w:top w:val="none" w:sz="0" w:space="0" w:color="000000"/>
                <w:left w:val="none" w:sz="0" w:space="0" w:color="000000"/>
                <w:bottom w:val="none" w:sz="0" w:space="0" w:color="000000"/>
                <w:right w:val="none" w:sz="0" w:space="0" w:color="000000"/>
                <w:between w:val="none" w:sz="0" w:space="0" w:color="000000"/>
              </w:pBdr>
              <w:ind w:left="247"/>
              <w:rPr>
                <w:rFonts w:ascii="Helvetica Neue" w:eastAsia="Helvetica Neue" w:hAnsi="Helvetica Neue" w:cs="Helvetica Neue"/>
                <w:color w:val="4E5758"/>
                <w:sz w:val="16"/>
                <w:szCs w:val="16"/>
              </w:rPr>
            </w:pPr>
            <w:r>
              <w:rPr>
                <w:rFonts w:ascii="Helvetica Neue" w:eastAsia="Helvetica Neue" w:hAnsi="Helvetica Neue" w:cs="Helvetica Neue"/>
                <w:color w:val="4E5758"/>
                <w:sz w:val="16"/>
                <w:szCs w:val="16"/>
              </w:rPr>
              <w:t>Address</w:t>
            </w:r>
          </w:p>
          <w:p w14:paraId="7A12E8AE" w14:textId="77777777" w:rsidR="002B7E90" w:rsidRDefault="00000000">
            <w:pPr>
              <w:widowControl w:val="0"/>
              <w:pBdr>
                <w:top w:val="none" w:sz="0" w:space="0" w:color="000000"/>
                <w:left w:val="none" w:sz="0" w:space="0" w:color="000000"/>
                <w:bottom w:val="none" w:sz="0" w:space="0" w:color="000000"/>
                <w:right w:val="none" w:sz="0" w:space="0" w:color="000000"/>
                <w:between w:val="none" w:sz="0" w:space="0" w:color="000000"/>
              </w:pBdr>
              <w:ind w:left="247"/>
              <w:rPr>
                <w:rFonts w:ascii="Helvetica Neue" w:eastAsia="Helvetica Neue" w:hAnsi="Helvetica Neue" w:cs="Helvetica Neue"/>
                <w:color w:val="4E5758"/>
                <w:sz w:val="16"/>
                <w:szCs w:val="16"/>
              </w:rPr>
            </w:pPr>
            <w:r>
              <w:rPr>
                <w:rFonts w:ascii="Helvetica Neue" w:eastAsia="Helvetica Neue" w:hAnsi="Helvetica Neue" w:cs="Helvetica Neue"/>
                <w:color w:val="4E5758"/>
                <w:sz w:val="16"/>
                <w:szCs w:val="16"/>
              </w:rPr>
              <w:t xml:space="preserve">NPI# </w:t>
            </w:r>
          </w:p>
          <w:p w14:paraId="427545D6" w14:textId="77777777" w:rsidR="002B7E90" w:rsidRDefault="00000000">
            <w:pPr>
              <w:widowControl w:val="0"/>
              <w:pBdr>
                <w:top w:val="none" w:sz="0" w:space="0" w:color="000000"/>
                <w:left w:val="none" w:sz="0" w:space="0" w:color="000000"/>
                <w:bottom w:val="none" w:sz="0" w:space="0" w:color="000000"/>
                <w:right w:val="none" w:sz="0" w:space="0" w:color="000000"/>
                <w:between w:val="none" w:sz="0" w:space="0" w:color="000000"/>
              </w:pBdr>
              <w:ind w:left="247"/>
              <w:rPr>
                <w:rFonts w:ascii="Helvetica Neue" w:eastAsia="Helvetica Neue" w:hAnsi="Helvetica Neue" w:cs="Helvetica Neue"/>
                <w:color w:val="4E5758"/>
                <w:sz w:val="16"/>
                <w:szCs w:val="16"/>
              </w:rPr>
            </w:pPr>
            <w:r>
              <w:rPr>
                <w:rFonts w:ascii="Helvetica Neue" w:eastAsia="Helvetica Neue" w:hAnsi="Helvetica Neue" w:cs="Helvetica Neue"/>
                <w:color w:val="4E5758"/>
                <w:sz w:val="16"/>
                <w:szCs w:val="16"/>
              </w:rPr>
              <w:t>PI#</w:t>
            </w:r>
          </w:p>
          <w:p w14:paraId="2804E881" w14:textId="77777777" w:rsidR="002B7E90" w:rsidRDefault="002B7E90">
            <w:pPr>
              <w:widowControl w:val="0"/>
              <w:pBdr>
                <w:top w:val="none" w:sz="0" w:space="0" w:color="000000"/>
                <w:left w:val="none" w:sz="0" w:space="0" w:color="000000"/>
                <w:bottom w:val="none" w:sz="0" w:space="0" w:color="000000"/>
                <w:right w:val="none" w:sz="0" w:space="0" w:color="000000"/>
                <w:between w:val="none" w:sz="0" w:space="0" w:color="000000"/>
              </w:pBdr>
              <w:ind w:left="247"/>
              <w:rPr>
                <w:rFonts w:ascii="Helvetica Neue" w:eastAsia="Helvetica Neue" w:hAnsi="Helvetica Neue" w:cs="Helvetica Neue"/>
                <w:b/>
                <w:color w:val="4E5758"/>
                <w:sz w:val="22"/>
                <w:szCs w:val="22"/>
              </w:rPr>
            </w:pPr>
          </w:p>
        </w:tc>
        <w:tc>
          <w:tcPr>
            <w:tcW w:w="5417" w:type="dxa"/>
            <w:tcBorders>
              <w:top w:val="single" w:sz="4" w:space="0" w:color="000000"/>
              <w:left w:val="nil"/>
              <w:bottom w:val="nil"/>
              <w:right w:val="nil"/>
            </w:tcBorders>
          </w:tcPr>
          <w:p w14:paraId="5F585475" w14:textId="77777777" w:rsidR="002B7E90" w:rsidRDefault="00000000">
            <w:pPr>
              <w:widowControl w:val="0"/>
              <w:pBdr>
                <w:top w:val="none" w:sz="0" w:space="0" w:color="000000"/>
                <w:left w:val="none" w:sz="0" w:space="0" w:color="000000"/>
                <w:bottom w:val="none" w:sz="0" w:space="0" w:color="000000"/>
                <w:right w:val="none" w:sz="0" w:space="0" w:color="000000"/>
                <w:between w:val="none" w:sz="0" w:space="0" w:color="000000"/>
              </w:pBdr>
              <w:rPr>
                <w:rFonts w:ascii="Helvetica Neue" w:eastAsia="Helvetica Neue" w:hAnsi="Helvetica Neue" w:cs="Helvetica Neue"/>
                <w:b/>
                <w:color w:val="4E5758"/>
                <w:sz w:val="26"/>
                <w:szCs w:val="26"/>
              </w:rPr>
            </w:pPr>
            <w:r>
              <w:rPr>
                <w:rFonts w:ascii="Helvetica Neue" w:eastAsia="Helvetica Neue" w:hAnsi="Helvetica Neue" w:cs="Helvetica Neue"/>
                <w:color w:val="4E5758"/>
                <w:sz w:val="19"/>
                <w:szCs w:val="19"/>
              </w:rPr>
              <w:t>Effective Date</w:t>
            </w:r>
          </w:p>
        </w:tc>
      </w:tr>
    </w:tbl>
    <w:p w14:paraId="3A859C2B" w14:textId="77777777" w:rsidR="002B7E90" w:rsidRDefault="00000000">
      <w:pPr>
        <w:widowControl w:val="0"/>
        <w:pBdr>
          <w:top w:val="nil"/>
          <w:left w:val="nil"/>
          <w:bottom w:val="nil"/>
          <w:right w:val="nil"/>
          <w:between w:val="nil"/>
        </w:pBdr>
        <w:rPr>
          <w:rFonts w:ascii="Helvetica Neue" w:eastAsia="Helvetica Neue" w:hAnsi="Helvetica Neue" w:cs="Helvetica Neue"/>
          <w:b/>
          <w:color w:val="4E5758"/>
          <w:sz w:val="26"/>
          <w:szCs w:val="26"/>
        </w:rPr>
      </w:pPr>
      <w:r>
        <w:br w:type="page"/>
      </w:r>
    </w:p>
    <w:p w14:paraId="32C50074" w14:textId="77777777" w:rsidR="002B7E90" w:rsidRDefault="00000000">
      <w:pPr>
        <w:widowControl w:val="0"/>
        <w:pBdr>
          <w:top w:val="nil"/>
          <w:left w:val="nil"/>
          <w:bottom w:val="nil"/>
          <w:right w:val="nil"/>
          <w:between w:val="nil"/>
        </w:pBdr>
        <w:jc w:val="center"/>
        <w:rPr>
          <w:rFonts w:ascii="Helvetica Neue" w:eastAsia="Helvetica Neue" w:hAnsi="Helvetica Neue" w:cs="Helvetica Neue"/>
          <w:b/>
          <w:color w:val="4E5758"/>
          <w:sz w:val="26"/>
          <w:szCs w:val="26"/>
        </w:rPr>
      </w:pPr>
      <w:r>
        <w:rPr>
          <w:rFonts w:ascii="Helvetica Neue" w:eastAsia="Helvetica Neue" w:hAnsi="Helvetica Neue" w:cs="Helvetica Neue"/>
          <w:b/>
          <w:color w:val="4E5758"/>
          <w:sz w:val="26"/>
          <w:szCs w:val="26"/>
        </w:rPr>
        <w:lastRenderedPageBreak/>
        <w:t>PROTOCOL FOR NALOXONE STANDING ORDERS</w:t>
      </w:r>
    </w:p>
    <w:p w14:paraId="4AAF2C05" w14:textId="77777777" w:rsidR="002B7E90" w:rsidRDefault="00000000">
      <w:pPr>
        <w:widowControl w:val="0"/>
        <w:pBdr>
          <w:top w:val="nil"/>
          <w:left w:val="nil"/>
          <w:bottom w:val="nil"/>
          <w:right w:val="nil"/>
          <w:between w:val="nil"/>
        </w:pBdr>
        <w:spacing w:before="234"/>
        <w:ind w:left="15"/>
        <w:rPr>
          <w:rFonts w:ascii="Helvetica Neue" w:eastAsia="Helvetica Neue" w:hAnsi="Helvetica Neue" w:cs="Helvetica Neue"/>
          <w:b/>
          <w:color w:val="4E5758"/>
          <w:sz w:val="22"/>
          <w:szCs w:val="22"/>
        </w:rPr>
      </w:pPr>
      <w:r>
        <w:rPr>
          <w:rFonts w:ascii="Helvetica Neue" w:eastAsia="Helvetica Neue" w:hAnsi="Helvetica Neue" w:cs="Helvetica Neue"/>
          <w:b/>
          <w:color w:val="4E5758"/>
          <w:sz w:val="22"/>
          <w:szCs w:val="22"/>
        </w:rPr>
        <w:t xml:space="preserve">Indications and Usage </w:t>
      </w:r>
    </w:p>
    <w:p w14:paraId="3D389967" w14:textId="77777777" w:rsidR="002B7E90" w:rsidRDefault="00000000">
      <w:pPr>
        <w:widowControl w:val="0"/>
        <w:pBdr>
          <w:top w:val="nil"/>
          <w:left w:val="nil"/>
          <w:bottom w:val="nil"/>
          <w:right w:val="nil"/>
          <w:between w:val="nil"/>
        </w:pBdr>
        <w:spacing w:before="37" w:line="267" w:lineRule="auto"/>
        <w:ind w:left="3" w:right="334" w:firstLine="8"/>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Naloxone is indicated for the complete or partial reversal of opioid overdose induced by natural or synthetic opioids and exhibited by respiratory depression or unresponsiveness. </w:t>
      </w:r>
    </w:p>
    <w:p w14:paraId="3F61D93D" w14:textId="77777777" w:rsidR="002B7E90" w:rsidRDefault="00000000">
      <w:pPr>
        <w:widowControl w:val="0"/>
        <w:pBdr>
          <w:top w:val="nil"/>
          <w:left w:val="nil"/>
          <w:bottom w:val="nil"/>
          <w:right w:val="nil"/>
          <w:between w:val="nil"/>
        </w:pBdr>
        <w:spacing w:before="304"/>
        <w:ind w:left="13"/>
        <w:rPr>
          <w:rFonts w:ascii="Helvetica Neue" w:eastAsia="Helvetica Neue" w:hAnsi="Helvetica Neue" w:cs="Helvetica Neue"/>
          <w:b/>
          <w:color w:val="4E5758"/>
          <w:sz w:val="22"/>
          <w:szCs w:val="22"/>
        </w:rPr>
      </w:pPr>
      <w:r>
        <w:rPr>
          <w:rFonts w:ascii="Helvetica Neue" w:eastAsia="Helvetica Neue" w:hAnsi="Helvetica Neue" w:cs="Helvetica Neue"/>
          <w:b/>
          <w:color w:val="4E5758"/>
          <w:sz w:val="22"/>
          <w:szCs w:val="22"/>
        </w:rPr>
        <w:t xml:space="preserve">Provider Actions </w:t>
      </w:r>
    </w:p>
    <w:p w14:paraId="27D7C451" w14:textId="77777777" w:rsidR="002B7E90" w:rsidRDefault="00000000">
      <w:pPr>
        <w:widowControl w:val="0"/>
        <w:pBdr>
          <w:top w:val="nil"/>
          <w:left w:val="nil"/>
          <w:bottom w:val="nil"/>
          <w:right w:val="nil"/>
          <w:between w:val="nil"/>
        </w:pBdr>
        <w:spacing w:before="37" w:line="269" w:lineRule="auto"/>
        <w:ind w:left="1" w:right="305" w:firstLine="9"/>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Determine whether the individual to whom the naloxone will be distributed meets one of the criteria listed below; failure</w:t>
      </w:r>
      <w:r>
        <w:rPr>
          <w:rFonts w:ascii="Helvetica Neue" w:eastAsia="Helvetica Neue" w:hAnsi="Helvetica Neue" w:cs="Helvetica Neue"/>
          <w:color w:val="4E5758"/>
          <w:sz w:val="19"/>
          <w:szCs w:val="19"/>
          <w:u w:val="single"/>
        </w:rPr>
        <w:t xml:space="preserve"> to meet one of these criteria prohibits the individual from receiving naloxone pursuant to this Standing Order</w:t>
      </w:r>
      <w:r>
        <w:rPr>
          <w:rFonts w:ascii="Helvetica Neue" w:eastAsia="Helvetica Neue" w:hAnsi="Helvetica Neue" w:cs="Helvetica Neue"/>
          <w:color w:val="4E5758"/>
          <w:sz w:val="19"/>
          <w:szCs w:val="19"/>
        </w:rPr>
        <w:t xml:space="preserve">: </w:t>
      </w:r>
    </w:p>
    <w:p w14:paraId="1B931206" w14:textId="52B1A395" w:rsidR="002B7E90" w:rsidRDefault="00000000">
      <w:pPr>
        <w:widowControl w:val="0"/>
        <w:numPr>
          <w:ilvl w:val="0"/>
          <w:numId w:val="2"/>
        </w:numPr>
        <w:pBdr>
          <w:top w:val="nil"/>
          <w:left w:val="nil"/>
          <w:bottom w:val="nil"/>
          <w:right w:val="nil"/>
          <w:between w:val="nil"/>
        </w:pBdr>
        <w:spacing w:before="129"/>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Is an individual at risk of experiencing an opioid overdose. These include but are not limited to: </w:t>
      </w:r>
    </w:p>
    <w:p w14:paraId="7427254D" w14:textId="6FCA8167" w:rsidR="002B7E90" w:rsidRDefault="00000000">
      <w:pPr>
        <w:widowControl w:val="0"/>
        <w:numPr>
          <w:ilvl w:val="1"/>
          <w:numId w:val="2"/>
        </w:numPr>
        <w:pBdr>
          <w:top w:val="nil"/>
          <w:left w:val="nil"/>
          <w:bottom w:val="nil"/>
          <w:right w:val="nil"/>
          <w:between w:val="nil"/>
        </w:pBdr>
        <w:spacing w:before="129"/>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Any individual taking prescribed opioids</w:t>
      </w:r>
      <w:r w:rsidR="00C54CB3">
        <w:rPr>
          <w:rFonts w:ascii="Helvetica Neue" w:eastAsia="Helvetica Neue" w:hAnsi="Helvetica Neue" w:cs="Helvetica Neue"/>
          <w:color w:val="4E5758"/>
          <w:sz w:val="19"/>
          <w:szCs w:val="19"/>
        </w:rPr>
        <w:t>.</w:t>
      </w:r>
    </w:p>
    <w:p w14:paraId="1CCEF2DC" w14:textId="77777777" w:rsidR="002B7E90" w:rsidRDefault="00000000">
      <w:pPr>
        <w:widowControl w:val="0"/>
        <w:numPr>
          <w:ilvl w:val="1"/>
          <w:numId w:val="2"/>
        </w:numPr>
        <w:pBdr>
          <w:top w:val="nil"/>
          <w:left w:val="nil"/>
          <w:bottom w:val="nil"/>
          <w:right w:val="nil"/>
          <w:between w:val="nil"/>
        </w:pBdr>
        <w:spacing w:before="129"/>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Any individual with suspected illicit or nonmedical opioid use (including fentanyl and heroin). </w:t>
      </w:r>
    </w:p>
    <w:p w14:paraId="4A47AD60" w14:textId="46D34906" w:rsidR="002B7E90" w:rsidRDefault="00000000">
      <w:pPr>
        <w:widowControl w:val="0"/>
        <w:numPr>
          <w:ilvl w:val="1"/>
          <w:numId w:val="2"/>
        </w:numPr>
        <w:pBdr>
          <w:top w:val="nil"/>
          <w:left w:val="nil"/>
          <w:bottom w:val="nil"/>
          <w:right w:val="nil"/>
          <w:between w:val="nil"/>
        </w:pBdr>
        <w:spacing w:before="129"/>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Any individual who uses nonopioid illicit substances (including methamphetamine, cocaine, illicit benzodiazepines, </w:t>
      </w:r>
      <w:r w:rsidR="00C54CB3">
        <w:rPr>
          <w:rFonts w:ascii="Helvetica Neue" w:eastAsia="Helvetica Neue" w:hAnsi="Helvetica Neue" w:cs="Helvetica Neue"/>
          <w:color w:val="4E5758"/>
          <w:sz w:val="19"/>
          <w:szCs w:val="19"/>
        </w:rPr>
        <w:t>etc.</w:t>
      </w:r>
      <w:r>
        <w:rPr>
          <w:rFonts w:ascii="Helvetica Neue" w:eastAsia="Helvetica Neue" w:hAnsi="Helvetica Neue" w:cs="Helvetica Neue"/>
          <w:color w:val="4E5758"/>
          <w:sz w:val="19"/>
          <w:szCs w:val="19"/>
        </w:rPr>
        <w:t>). Due to risk of cross contamination</w:t>
      </w:r>
      <w:r w:rsidR="00C54CB3">
        <w:rPr>
          <w:rFonts w:ascii="Helvetica Neue" w:eastAsia="Helvetica Neue" w:hAnsi="Helvetica Neue" w:cs="Helvetica Neue"/>
          <w:color w:val="4E5758"/>
          <w:sz w:val="19"/>
          <w:szCs w:val="19"/>
        </w:rPr>
        <w:t>.</w:t>
      </w:r>
      <w:r>
        <w:rPr>
          <w:rFonts w:ascii="Helvetica Neue" w:eastAsia="Helvetica Neue" w:hAnsi="Helvetica Neue" w:cs="Helvetica Neue"/>
          <w:color w:val="4E5758"/>
          <w:sz w:val="19"/>
          <w:szCs w:val="19"/>
        </w:rPr>
        <w:t xml:space="preserve">  </w:t>
      </w:r>
    </w:p>
    <w:p w14:paraId="3AD31258" w14:textId="77777777" w:rsidR="002B7E90" w:rsidRDefault="00000000">
      <w:pPr>
        <w:widowControl w:val="0"/>
        <w:numPr>
          <w:ilvl w:val="0"/>
          <w:numId w:val="2"/>
        </w:numPr>
        <w:pBdr>
          <w:top w:val="nil"/>
          <w:left w:val="nil"/>
          <w:bottom w:val="nil"/>
          <w:right w:val="nil"/>
          <w:between w:val="nil"/>
        </w:pBdr>
        <w:spacing w:before="129"/>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Any individual who lives or is around a high drug use area</w:t>
      </w:r>
      <w:proofErr w:type="gramStart"/>
      <w:r>
        <w:rPr>
          <w:rFonts w:ascii="Helvetica Neue" w:eastAsia="Helvetica Neue" w:hAnsi="Helvetica Neue" w:cs="Helvetica Neue"/>
          <w:color w:val="4E5758"/>
          <w:sz w:val="19"/>
          <w:szCs w:val="19"/>
        </w:rPr>
        <w:t>, who</w:t>
      </w:r>
      <w:proofErr w:type="gramEnd"/>
      <w:r>
        <w:rPr>
          <w:rFonts w:ascii="Helvetica Neue" w:eastAsia="Helvetica Neue" w:hAnsi="Helvetica Neue" w:cs="Helvetica Neue"/>
          <w:color w:val="4E5758"/>
          <w:sz w:val="19"/>
          <w:szCs w:val="19"/>
        </w:rPr>
        <w:t xml:space="preserve"> could witness and respond to an opioid overdose. </w:t>
      </w:r>
    </w:p>
    <w:p w14:paraId="4E7384F9" w14:textId="02B76FEA" w:rsidR="002B7E90" w:rsidRDefault="00000000">
      <w:pPr>
        <w:widowControl w:val="0"/>
        <w:numPr>
          <w:ilvl w:val="0"/>
          <w:numId w:val="2"/>
        </w:numPr>
        <w:pBdr>
          <w:top w:val="nil"/>
          <w:left w:val="nil"/>
          <w:bottom w:val="nil"/>
          <w:right w:val="nil"/>
          <w:between w:val="nil"/>
        </w:pBdr>
        <w:spacing w:before="33" w:line="267" w:lineRule="auto"/>
        <w:ind w:right="650"/>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Is an individual </w:t>
      </w:r>
      <w:proofErr w:type="gramStart"/>
      <w:r>
        <w:rPr>
          <w:rFonts w:ascii="Helvetica Neue" w:eastAsia="Helvetica Neue" w:hAnsi="Helvetica Neue" w:cs="Helvetica Neue"/>
          <w:color w:val="4E5758"/>
          <w:sz w:val="19"/>
          <w:szCs w:val="19"/>
        </w:rPr>
        <w:t>in a position</w:t>
      </w:r>
      <w:proofErr w:type="gramEnd"/>
      <w:r>
        <w:rPr>
          <w:rFonts w:ascii="Helvetica Neue" w:eastAsia="Helvetica Neue" w:hAnsi="Helvetica Neue" w:cs="Helvetica Neue"/>
          <w:color w:val="4E5758"/>
          <w:sz w:val="19"/>
          <w:szCs w:val="19"/>
        </w:rPr>
        <w:t xml:space="preserve"> to assist a family member, friend, or other person at risk of experiencing an opioid overdose.  </w:t>
      </w:r>
    </w:p>
    <w:p w14:paraId="40C1177A" w14:textId="77777777" w:rsidR="002B7E90" w:rsidRDefault="00000000">
      <w:pPr>
        <w:widowControl w:val="0"/>
        <w:numPr>
          <w:ilvl w:val="0"/>
          <w:numId w:val="2"/>
        </w:numPr>
        <w:pBdr>
          <w:top w:val="nil"/>
          <w:left w:val="nil"/>
          <w:bottom w:val="nil"/>
          <w:right w:val="nil"/>
          <w:between w:val="nil"/>
        </w:pBdr>
        <w:spacing w:before="13"/>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Is an employee or volunteer of a harm reduction organization. </w:t>
      </w:r>
    </w:p>
    <w:p w14:paraId="4AAE870D" w14:textId="77777777" w:rsidR="002B7E90" w:rsidRDefault="00000000">
      <w:pPr>
        <w:widowControl w:val="0"/>
        <w:pBdr>
          <w:top w:val="nil"/>
          <w:left w:val="nil"/>
          <w:bottom w:val="nil"/>
          <w:right w:val="nil"/>
          <w:between w:val="nil"/>
        </w:pBdr>
        <w:spacing w:before="300" w:line="268" w:lineRule="auto"/>
        <w:ind w:left="3" w:right="639" w:firstLine="8"/>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Determine if the individual is oriented to person, place, and time and able to understand and learn the essential components of overdose response and naloxone administration; </w:t>
      </w:r>
      <w:r>
        <w:rPr>
          <w:rFonts w:ascii="Helvetica Neue" w:eastAsia="Helvetica Neue" w:hAnsi="Helvetica Neue" w:cs="Helvetica Neue"/>
          <w:color w:val="4E5758"/>
          <w:sz w:val="19"/>
          <w:szCs w:val="19"/>
          <w:u w:val="single"/>
        </w:rPr>
        <w:t xml:space="preserve">failure to meet this requirement prohibits the </w:t>
      </w:r>
      <w:r>
        <w:rPr>
          <w:rFonts w:ascii="Helvetica Neue" w:eastAsia="Helvetica Neue" w:hAnsi="Helvetica Neue" w:cs="Helvetica Neue"/>
          <w:color w:val="4E5758"/>
          <w:sz w:val="19"/>
          <w:szCs w:val="19"/>
        </w:rPr>
        <w:t>individual</w:t>
      </w:r>
      <w:r>
        <w:rPr>
          <w:rFonts w:ascii="Helvetica Neue" w:eastAsia="Helvetica Neue" w:hAnsi="Helvetica Neue" w:cs="Helvetica Neue"/>
          <w:color w:val="4E5758"/>
          <w:sz w:val="19"/>
          <w:szCs w:val="19"/>
          <w:u w:val="single"/>
        </w:rPr>
        <w:t xml:space="preserve"> from receiving naloxone pursuant to this Standing Order</w:t>
      </w:r>
      <w:r>
        <w:rPr>
          <w:rFonts w:ascii="Helvetica Neue" w:eastAsia="Helvetica Neue" w:hAnsi="Helvetica Neue" w:cs="Helvetica Neue"/>
          <w:color w:val="4E5758"/>
          <w:sz w:val="19"/>
          <w:szCs w:val="19"/>
        </w:rPr>
        <w:t xml:space="preserve">. </w:t>
      </w:r>
    </w:p>
    <w:p w14:paraId="247FCE7F" w14:textId="40453970" w:rsidR="002B7E90" w:rsidRDefault="00000000">
      <w:pPr>
        <w:widowControl w:val="0"/>
        <w:pBdr>
          <w:top w:val="nil"/>
          <w:left w:val="nil"/>
          <w:bottom w:val="nil"/>
          <w:right w:val="nil"/>
          <w:between w:val="nil"/>
        </w:pBdr>
        <w:spacing w:before="276" w:line="268" w:lineRule="auto"/>
        <w:ind w:left="10" w:right="223" w:firstLine="1"/>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If the individual receiving the naloxone is an individual at risk of experiencing an opioid overdose, screen the individual for contraindications/precautions as described below. If a contraindication/precaution exists, refer the individual to a medical provider for evaluation. </w:t>
      </w:r>
    </w:p>
    <w:p w14:paraId="5621B0A2" w14:textId="77777777" w:rsidR="002B7E90" w:rsidRDefault="00000000">
      <w:pPr>
        <w:widowControl w:val="0"/>
        <w:numPr>
          <w:ilvl w:val="0"/>
          <w:numId w:val="4"/>
        </w:numPr>
        <w:pBdr>
          <w:top w:val="nil"/>
          <w:left w:val="nil"/>
          <w:bottom w:val="nil"/>
          <w:right w:val="nil"/>
          <w:between w:val="nil"/>
        </w:pBdr>
        <w:spacing w:before="10"/>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Contraindications</w:t>
      </w:r>
    </w:p>
    <w:p w14:paraId="6582102A" w14:textId="77777777" w:rsidR="002B7E90" w:rsidRDefault="00000000">
      <w:pPr>
        <w:widowControl w:val="0"/>
        <w:numPr>
          <w:ilvl w:val="1"/>
          <w:numId w:val="4"/>
        </w:numPr>
        <w:pBdr>
          <w:top w:val="nil"/>
          <w:left w:val="nil"/>
          <w:bottom w:val="nil"/>
          <w:right w:val="nil"/>
          <w:between w:val="nil"/>
        </w:pBdr>
        <w:spacing w:before="10"/>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Patients known to be allergic to naloxone hydrochloride. </w:t>
      </w:r>
    </w:p>
    <w:p w14:paraId="74686F9C" w14:textId="77777777" w:rsidR="002B7E90" w:rsidRDefault="00000000" w:rsidP="00C54CB3">
      <w:pPr>
        <w:widowControl w:val="0"/>
        <w:pBdr>
          <w:top w:val="nil"/>
          <w:left w:val="nil"/>
          <w:bottom w:val="nil"/>
          <w:right w:val="nil"/>
          <w:between w:val="nil"/>
        </w:pBdr>
        <w:spacing w:before="279" w:line="267" w:lineRule="auto"/>
        <w:ind w:right="117"/>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Provide opioid overdose educational information/resources or referral to resources. Opioid overdose education for the individual shall cover the following at a minimum: </w:t>
      </w:r>
    </w:p>
    <w:p w14:paraId="658EA5A3" w14:textId="77777777" w:rsidR="002B7E90" w:rsidRDefault="00000000">
      <w:pPr>
        <w:widowControl w:val="0"/>
        <w:numPr>
          <w:ilvl w:val="0"/>
          <w:numId w:val="3"/>
        </w:numPr>
        <w:pBdr>
          <w:top w:val="nil"/>
          <w:left w:val="nil"/>
          <w:bottom w:val="nil"/>
          <w:right w:val="nil"/>
          <w:between w:val="nil"/>
        </w:pBdr>
        <w:spacing w:before="11"/>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Risk factors for opioid overdose and possible prevention actions. </w:t>
      </w:r>
    </w:p>
    <w:p w14:paraId="2C7542B2" w14:textId="77777777" w:rsidR="002B7E90" w:rsidRDefault="00000000">
      <w:pPr>
        <w:widowControl w:val="0"/>
        <w:numPr>
          <w:ilvl w:val="0"/>
          <w:numId w:val="3"/>
        </w:numPr>
        <w:pBdr>
          <w:top w:val="nil"/>
          <w:left w:val="nil"/>
          <w:bottom w:val="nil"/>
          <w:right w:val="nil"/>
          <w:between w:val="nil"/>
        </w:pBdr>
        <w:spacing w:before="36"/>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Recognition of opioid overdose. </w:t>
      </w:r>
    </w:p>
    <w:p w14:paraId="298C7065" w14:textId="77777777" w:rsidR="002B7E90" w:rsidRDefault="00000000">
      <w:pPr>
        <w:widowControl w:val="0"/>
        <w:numPr>
          <w:ilvl w:val="0"/>
          <w:numId w:val="3"/>
        </w:numPr>
        <w:pBdr>
          <w:top w:val="nil"/>
          <w:left w:val="nil"/>
          <w:bottom w:val="nil"/>
          <w:right w:val="nil"/>
          <w:between w:val="nil"/>
        </w:pBdr>
        <w:spacing w:before="33"/>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Directions for use, including:  </w:t>
      </w:r>
    </w:p>
    <w:p w14:paraId="0BC0A258" w14:textId="77777777" w:rsidR="002B7E90" w:rsidRDefault="00000000">
      <w:pPr>
        <w:widowControl w:val="0"/>
        <w:numPr>
          <w:ilvl w:val="1"/>
          <w:numId w:val="3"/>
        </w:numPr>
        <w:pBdr>
          <w:top w:val="nil"/>
          <w:left w:val="nil"/>
          <w:bottom w:val="nil"/>
          <w:right w:val="nil"/>
          <w:between w:val="nil"/>
        </w:pBdr>
        <w:spacing w:before="33"/>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calling 911,  </w:t>
      </w:r>
    </w:p>
    <w:p w14:paraId="7820C0AA" w14:textId="77777777" w:rsidR="002B7E90" w:rsidRDefault="00000000">
      <w:pPr>
        <w:widowControl w:val="0"/>
        <w:numPr>
          <w:ilvl w:val="1"/>
          <w:numId w:val="3"/>
        </w:numPr>
        <w:pBdr>
          <w:top w:val="nil"/>
          <w:left w:val="nil"/>
          <w:bottom w:val="nil"/>
          <w:right w:val="nil"/>
          <w:between w:val="nil"/>
        </w:pBdr>
        <w:spacing w:before="36" w:line="267" w:lineRule="auto"/>
        <w:ind w:right="91"/>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administration of naloxone according to package insert/ manufacturer’s instructions for initial and any necessary repeat doses every three minutes, and  </w:t>
      </w:r>
    </w:p>
    <w:p w14:paraId="1B8C2A87" w14:textId="77777777" w:rsidR="002B7E90" w:rsidRDefault="00000000">
      <w:pPr>
        <w:widowControl w:val="0"/>
        <w:numPr>
          <w:ilvl w:val="1"/>
          <w:numId w:val="3"/>
        </w:numPr>
        <w:pBdr>
          <w:top w:val="nil"/>
          <w:left w:val="nil"/>
          <w:bottom w:val="nil"/>
          <w:right w:val="nil"/>
          <w:between w:val="nil"/>
        </w:pBdr>
        <w:spacing w:before="11"/>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rescue breathing and airway management.</w:t>
      </w:r>
    </w:p>
    <w:p w14:paraId="6B483EC1" w14:textId="77777777" w:rsidR="002B7E90" w:rsidRDefault="00000000">
      <w:pPr>
        <w:widowControl w:val="0"/>
        <w:numPr>
          <w:ilvl w:val="0"/>
          <w:numId w:val="3"/>
        </w:numPr>
        <w:pBdr>
          <w:top w:val="nil"/>
          <w:left w:val="nil"/>
          <w:bottom w:val="nil"/>
          <w:right w:val="nil"/>
          <w:between w:val="nil"/>
        </w:pBdr>
        <w:spacing w:before="33" w:line="268" w:lineRule="auto"/>
        <w:ind w:right="266"/>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Possible adverse reactions related to reversing dependency and precipitating opioid withdrawal and include fever, hypertension, tachycardia, agitation, restlessness, diarrhea, nausea/vomiting, muscle aches, myalgia, sweating diaphoresis, abdominal cramping, yawning, sneezing. </w:t>
      </w:r>
    </w:p>
    <w:p w14:paraId="4D9C576A" w14:textId="77777777" w:rsidR="002B7E90" w:rsidRDefault="00000000">
      <w:pPr>
        <w:widowControl w:val="0"/>
        <w:numPr>
          <w:ilvl w:val="1"/>
          <w:numId w:val="3"/>
        </w:numPr>
        <w:pBdr>
          <w:top w:val="nil"/>
          <w:left w:val="nil"/>
          <w:bottom w:val="nil"/>
          <w:right w:val="nil"/>
          <w:between w:val="nil"/>
        </w:pBdr>
        <w:spacing w:before="33"/>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Symptoms may appear within minutes of naloxone administration and subside in approximately 2 hours.</w:t>
      </w:r>
    </w:p>
    <w:p w14:paraId="01D26D88" w14:textId="77777777" w:rsidR="002B7E90" w:rsidRDefault="00000000">
      <w:pPr>
        <w:widowControl w:val="0"/>
        <w:numPr>
          <w:ilvl w:val="1"/>
          <w:numId w:val="3"/>
        </w:numPr>
        <w:pBdr>
          <w:top w:val="nil"/>
          <w:left w:val="nil"/>
          <w:bottom w:val="nil"/>
          <w:right w:val="nil"/>
          <w:between w:val="nil"/>
        </w:pBdr>
        <w:spacing w:before="33"/>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Severity and duration of the withdrawal syndrome is related to the dose of naloxone and the degree of opioid dependence. </w:t>
      </w:r>
    </w:p>
    <w:p w14:paraId="00C09CBA" w14:textId="77777777" w:rsidR="002B7E90" w:rsidRDefault="00000000">
      <w:pPr>
        <w:widowControl w:val="0"/>
        <w:numPr>
          <w:ilvl w:val="1"/>
          <w:numId w:val="3"/>
        </w:numPr>
        <w:pBdr>
          <w:top w:val="nil"/>
          <w:left w:val="nil"/>
          <w:bottom w:val="nil"/>
          <w:right w:val="nil"/>
          <w:between w:val="nil"/>
        </w:pBdr>
        <w:spacing w:before="33"/>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Adverse effects beyond opioid withdrawal are rare. </w:t>
      </w:r>
    </w:p>
    <w:p w14:paraId="78494663" w14:textId="77777777" w:rsidR="002B7E90" w:rsidRDefault="00000000">
      <w:pPr>
        <w:widowControl w:val="0"/>
        <w:pBdr>
          <w:top w:val="nil"/>
          <w:left w:val="nil"/>
          <w:bottom w:val="nil"/>
          <w:right w:val="nil"/>
          <w:between w:val="nil"/>
        </w:pBdr>
        <w:spacing w:before="209"/>
        <w:ind w:left="11"/>
        <w:rPr>
          <w:rFonts w:ascii="Helvetica Neue" w:eastAsia="Helvetica Neue" w:hAnsi="Helvetica Neue" w:cs="Helvetica Neue"/>
          <w:color w:val="565656"/>
          <w:sz w:val="19"/>
          <w:szCs w:val="19"/>
        </w:rPr>
      </w:pPr>
      <w:r>
        <w:rPr>
          <w:rFonts w:ascii="Helvetica Neue" w:eastAsia="Helvetica Neue" w:hAnsi="Helvetica Neue" w:cs="Helvetica Neue"/>
          <w:color w:val="565656"/>
          <w:sz w:val="19"/>
          <w:szCs w:val="19"/>
        </w:rPr>
        <w:t xml:space="preserve">Distribute naloxone kit and explain the contents to the individual.  Provide information and/or referral for substance abuse or behavioral health treatment options. </w:t>
      </w:r>
    </w:p>
    <w:p w14:paraId="58EDBCEA" w14:textId="77777777" w:rsidR="00C54CB3" w:rsidRDefault="00C54CB3">
      <w:pPr>
        <w:rPr>
          <w:rFonts w:ascii="Helvetica Neue" w:eastAsia="Helvetica Neue" w:hAnsi="Helvetica Neue" w:cs="Helvetica Neue"/>
          <w:b/>
          <w:color w:val="4E5758"/>
          <w:sz w:val="22"/>
          <w:szCs w:val="22"/>
        </w:rPr>
      </w:pPr>
      <w:r>
        <w:rPr>
          <w:rFonts w:ascii="Helvetica Neue" w:eastAsia="Helvetica Neue" w:hAnsi="Helvetica Neue" w:cs="Helvetica Neue"/>
          <w:b/>
          <w:color w:val="4E5758"/>
          <w:sz w:val="22"/>
          <w:szCs w:val="22"/>
        </w:rPr>
        <w:br w:type="page"/>
      </w:r>
    </w:p>
    <w:p w14:paraId="2E1E4B5B" w14:textId="54F86955" w:rsidR="002B7E90" w:rsidRDefault="00000000">
      <w:pPr>
        <w:widowControl w:val="0"/>
        <w:pBdr>
          <w:top w:val="nil"/>
          <w:left w:val="nil"/>
          <w:bottom w:val="nil"/>
          <w:right w:val="nil"/>
          <w:between w:val="nil"/>
        </w:pBdr>
        <w:spacing w:before="324"/>
        <w:ind w:left="13"/>
        <w:rPr>
          <w:rFonts w:ascii="Helvetica Neue" w:eastAsia="Helvetica Neue" w:hAnsi="Helvetica Neue" w:cs="Helvetica Neue"/>
          <w:b/>
          <w:color w:val="4E5758"/>
          <w:sz w:val="22"/>
          <w:szCs w:val="22"/>
        </w:rPr>
      </w:pPr>
      <w:r>
        <w:rPr>
          <w:rFonts w:ascii="Helvetica Neue" w:eastAsia="Helvetica Neue" w:hAnsi="Helvetica Neue" w:cs="Helvetica Neue"/>
          <w:b/>
          <w:color w:val="4E5758"/>
          <w:sz w:val="22"/>
          <w:szCs w:val="22"/>
        </w:rPr>
        <w:lastRenderedPageBreak/>
        <w:t xml:space="preserve">Follow Up Requirements </w:t>
      </w:r>
    </w:p>
    <w:p w14:paraId="5B3DB168" w14:textId="6B6BCA15" w:rsidR="002B7E90" w:rsidRDefault="00000000">
      <w:pPr>
        <w:widowControl w:val="0"/>
        <w:pBdr>
          <w:top w:val="nil"/>
          <w:left w:val="nil"/>
          <w:bottom w:val="nil"/>
          <w:right w:val="nil"/>
          <w:between w:val="nil"/>
        </w:pBdr>
        <w:spacing w:before="39" w:line="268" w:lineRule="auto"/>
        <w:ind w:firstLine="12"/>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***EMS Agency*** employees or volunteers shall perform the follow up activities listed below if Naloxone is distributed to a person for </w:t>
      </w:r>
      <w:proofErr w:type="gramStart"/>
      <w:r>
        <w:rPr>
          <w:rFonts w:ascii="Helvetica Neue" w:eastAsia="Helvetica Neue" w:hAnsi="Helvetica Neue" w:cs="Helvetica Neue"/>
          <w:color w:val="4E5758"/>
          <w:sz w:val="19"/>
          <w:szCs w:val="19"/>
        </w:rPr>
        <w:t>prevention</w:t>
      </w:r>
      <w:r w:rsidR="00656999">
        <w:rPr>
          <w:rFonts w:ascii="Helvetica Neue" w:eastAsia="Helvetica Neue" w:hAnsi="Helvetica Neue" w:cs="Helvetica Neue"/>
          <w:color w:val="4E5758"/>
          <w:sz w:val="19"/>
          <w:szCs w:val="19"/>
        </w:rPr>
        <w:t xml:space="preserve"> </w:t>
      </w:r>
      <w:r>
        <w:rPr>
          <w:rFonts w:ascii="Helvetica Neue" w:eastAsia="Helvetica Neue" w:hAnsi="Helvetica Neue" w:cs="Helvetica Neue"/>
          <w:color w:val="4E5758"/>
          <w:sz w:val="19"/>
          <w:szCs w:val="19"/>
        </w:rPr>
        <w:t xml:space="preserve"> of</w:t>
      </w:r>
      <w:proofErr w:type="gramEnd"/>
      <w:r>
        <w:rPr>
          <w:rFonts w:ascii="Helvetica Neue" w:eastAsia="Helvetica Neue" w:hAnsi="Helvetica Neue" w:cs="Helvetica Neue"/>
          <w:color w:val="4E5758"/>
          <w:sz w:val="19"/>
          <w:szCs w:val="19"/>
        </w:rPr>
        <w:t xml:space="preserve"> an opioid-related overdose outside of a 911 response: </w:t>
      </w:r>
    </w:p>
    <w:p w14:paraId="68CBCA54" w14:textId="606FD199" w:rsidR="002B7E90" w:rsidRDefault="00000000">
      <w:pPr>
        <w:widowControl w:val="0"/>
        <w:numPr>
          <w:ilvl w:val="0"/>
          <w:numId w:val="3"/>
        </w:numPr>
        <w:pBdr>
          <w:top w:val="nil"/>
          <w:left w:val="nil"/>
          <w:bottom w:val="nil"/>
          <w:right w:val="nil"/>
          <w:between w:val="nil"/>
        </w:pBdr>
        <w:spacing w:before="11"/>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Instruct individual/parent/guardian to call a medical provider if questions, concerns, or problems arise</w:t>
      </w:r>
      <w:r w:rsidR="00C54CB3">
        <w:rPr>
          <w:rFonts w:ascii="Helvetica Neue" w:eastAsia="Helvetica Neue" w:hAnsi="Helvetica Neue" w:cs="Helvetica Neue"/>
          <w:color w:val="4E5758"/>
          <w:sz w:val="19"/>
          <w:szCs w:val="19"/>
        </w:rPr>
        <w:t>.</w:t>
      </w:r>
      <w:r>
        <w:rPr>
          <w:rFonts w:ascii="Helvetica Neue" w:eastAsia="Helvetica Neue" w:hAnsi="Helvetica Neue" w:cs="Helvetica Neue"/>
          <w:color w:val="4E5758"/>
          <w:sz w:val="19"/>
          <w:szCs w:val="19"/>
        </w:rPr>
        <w:t xml:space="preserve"> </w:t>
      </w:r>
    </w:p>
    <w:p w14:paraId="6D1DF9C4" w14:textId="745D2DD5" w:rsidR="002B7E90" w:rsidRDefault="00000000">
      <w:pPr>
        <w:widowControl w:val="0"/>
        <w:numPr>
          <w:ilvl w:val="0"/>
          <w:numId w:val="3"/>
        </w:numPr>
        <w:pBdr>
          <w:top w:val="nil"/>
          <w:left w:val="nil"/>
          <w:bottom w:val="nil"/>
          <w:right w:val="nil"/>
          <w:between w:val="nil"/>
        </w:pBdr>
        <w:spacing w:before="11"/>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 xml:space="preserve">Instruct individual/parent/guardian to return for refill as </w:t>
      </w:r>
      <w:r w:rsidR="00C54CB3">
        <w:rPr>
          <w:rFonts w:ascii="Helvetica Neue" w:eastAsia="Helvetica Neue" w:hAnsi="Helvetica Neue" w:cs="Helvetica Neue"/>
          <w:color w:val="4E5758"/>
          <w:sz w:val="19"/>
          <w:szCs w:val="19"/>
        </w:rPr>
        <w:t>needed.</w:t>
      </w:r>
    </w:p>
    <w:p w14:paraId="3203BAB5" w14:textId="77777777" w:rsidR="002B7E90" w:rsidRDefault="00000000">
      <w:pPr>
        <w:widowControl w:val="0"/>
        <w:numPr>
          <w:ilvl w:val="0"/>
          <w:numId w:val="3"/>
        </w:numPr>
        <w:pBdr>
          <w:top w:val="nil"/>
          <w:left w:val="nil"/>
          <w:bottom w:val="nil"/>
          <w:right w:val="nil"/>
          <w:between w:val="nil"/>
        </w:pBdr>
        <w:spacing w:before="11"/>
        <w:rPr>
          <w:rFonts w:ascii="Helvetica Neue" w:eastAsia="Helvetica Neue" w:hAnsi="Helvetica Neue" w:cs="Helvetica Neue"/>
          <w:color w:val="4E5758"/>
          <w:sz w:val="19"/>
          <w:szCs w:val="19"/>
        </w:rPr>
      </w:pPr>
      <w:r>
        <w:rPr>
          <w:rFonts w:ascii="Helvetica Neue" w:eastAsia="Helvetica Neue" w:hAnsi="Helvetica Neue" w:cs="Helvetica Neue"/>
          <w:color w:val="4E5758"/>
          <w:sz w:val="19"/>
          <w:szCs w:val="19"/>
        </w:rPr>
        <w:t>Encourage opioid users to communicate with primary care providers regarding overdose, use of naloxone, and availability of behavioral health services.</w:t>
      </w:r>
    </w:p>
    <w:p w14:paraId="541E77D0" w14:textId="77777777" w:rsidR="002B7E90" w:rsidRDefault="002B7E90">
      <w:pPr>
        <w:widowControl w:val="0"/>
        <w:pBdr>
          <w:top w:val="nil"/>
          <w:left w:val="nil"/>
          <w:bottom w:val="nil"/>
          <w:right w:val="nil"/>
          <w:between w:val="nil"/>
        </w:pBdr>
        <w:spacing w:before="199"/>
        <w:rPr>
          <w:rFonts w:ascii="Arial" w:eastAsia="Arial" w:hAnsi="Arial" w:cs="Arial"/>
          <w:color w:val="000000"/>
          <w:sz w:val="22"/>
          <w:szCs w:val="22"/>
        </w:rPr>
      </w:pPr>
    </w:p>
    <w:sectPr w:rsidR="002B7E90" w:rsidSect="00C54CB3">
      <w:headerReference w:type="default" r:id="rId8"/>
      <w:footerReference w:type="default" r:id="rId9"/>
      <w:pgSz w:w="12240" w:h="15840"/>
      <w:pgMar w:top="900" w:right="672" w:bottom="720" w:left="72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C45E" w14:textId="77777777" w:rsidR="00540D29" w:rsidRDefault="00540D29">
      <w:r>
        <w:separator/>
      </w:r>
    </w:p>
  </w:endnote>
  <w:endnote w:type="continuationSeparator" w:id="0">
    <w:p w14:paraId="77A06D4B" w14:textId="77777777" w:rsidR="00540D29" w:rsidRDefault="0054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1421" w14:textId="77777777" w:rsidR="002B7E90" w:rsidRDefault="002B7E9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6293" w14:textId="77777777" w:rsidR="00540D29" w:rsidRDefault="00540D29">
      <w:r>
        <w:separator/>
      </w:r>
    </w:p>
  </w:footnote>
  <w:footnote w:type="continuationSeparator" w:id="0">
    <w:p w14:paraId="1AAA2976" w14:textId="77777777" w:rsidR="00540D29" w:rsidRDefault="0054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2A25" w14:textId="77777777" w:rsidR="002B7E90" w:rsidRDefault="002B7E9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D02"/>
    <w:multiLevelType w:val="multilevel"/>
    <w:tmpl w:val="32CC1AD8"/>
    <w:lvl w:ilvl="0">
      <w:start w:val="1"/>
      <w:numFmt w:val="bullet"/>
      <w:lvlText w:val="●"/>
      <w:lvlJc w:val="left"/>
      <w:pPr>
        <w:ind w:left="1092" w:hanging="360"/>
      </w:pPr>
      <w:rPr>
        <w:rFonts w:ascii="Noto Sans Symbols" w:eastAsia="Noto Sans Symbols" w:hAnsi="Noto Sans Symbols" w:cs="Noto Sans Symbols"/>
      </w:rPr>
    </w:lvl>
    <w:lvl w:ilvl="1">
      <w:start w:val="1"/>
      <w:numFmt w:val="bullet"/>
      <w:lvlText w:val="o"/>
      <w:lvlJc w:val="left"/>
      <w:pPr>
        <w:ind w:left="1812" w:hanging="360"/>
      </w:pPr>
      <w:rPr>
        <w:rFonts w:ascii="Courier New" w:eastAsia="Courier New" w:hAnsi="Courier New" w:cs="Courier New"/>
      </w:rPr>
    </w:lvl>
    <w:lvl w:ilvl="2">
      <w:start w:val="1"/>
      <w:numFmt w:val="bullet"/>
      <w:lvlText w:val="▪"/>
      <w:lvlJc w:val="left"/>
      <w:pPr>
        <w:ind w:left="2532" w:hanging="360"/>
      </w:pPr>
      <w:rPr>
        <w:rFonts w:ascii="Noto Sans Symbols" w:eastAsia="Noto Sans Symbols" w:hAnsi="Noto Sans Symbols" w:cs="Noto Sans Symbols"/>
      </w:rPr>
    </w:lvl>
    <w:lvl w:ilvl="3">
      <w:start w:val="1"/>
      <w:numFmt w:val="bullet"/>
      <w:lvlText w:val="●"/>
      <w:lvlJc w:val="left"/>
      <w:pPr>
        <w:ind w:left="3252" w:hanging="360"/>
      </w:pPr>
      <w:rPr>
        <w:rFonts w:ascii="Noto Sans Symbols" w:eastAsia="Noto Sans Symbols" w:hAnsi="Noto Sans Symbols" w:cs="Noto Sans Symbols"/>
      </w:rPr>
    </w:lvl>
    <w:lvl w:ilvl="4">
      <w:start w:val="1"/>
      <w:numFmt w:val="bullet"/>
      <w:lvlText w:val="o"/>
      <w:lvlJc w:val="left"/>
      <w:pPr>
        <w:ind w:left="3972" w:hanging="360"/>
      </w:pPr>
      <w:rPr>
        <w:rFonts w:ascii="Courier New" w:eastAsia="Courier New" w:hAnsi="Courier New" w:cs="Courier New"/>
      </w:rPr>
    </w:lvl>
    <w:lvl w:ilvl="5">
      <w:start w:val="1"/>
      <w:numFmt w:val="bullet"/>
      <w:lvlText w:val="▪"/>
      <w:lvlJc w:val="left"/>
      <w:pPr>
        <w:ind w:left="4692" w:hanging="360"/>
      </w:pPr>
      <w:rPr>
        <w:rFonts w:ascii="Noto Sans Symbols" w:eastAsia="Noto Sans Symbols" w:hAnsi="Noto Sans Symbols" w:cs="Noto Sans Symbols"/>
      </w:rPr>
    </w:lvl>
    <w:lvl w:ilvl="6">
      <w:start w:val="1"/>
      <w:numFmt w:val="bullet"/>
      <w:lvlText w:val="●"/>
      <w:lvlJc w:val="left"/>
      <w:pPr>
        <w:ind w:left="5412" w:hanging="360"/>
      </w:pPr>
      <w:rPr>
        <w:rFonts w:ascii="Noto Sans Symbols" w:eastAsia="Noto Sans Symbols" w:hAnsi="Noto Sans Symbols" w:cs="Noto Sans Symbols"/>
      </w:rPr>
    </w:lvl>
    <w:lvl w:ilvl="7">
      <w:start w:val="1"/>
      <w:numFmt w:val="bullet"/>
      <w:lvlText w:val="o"/>
      <w:lvlJc w:val="left"/>
      <w:pPr>
        <w:ind w:left="6132" w:hanging="360"/>
      </w:pPr>
      <w:rPr>
        <w:rFonts w:ascii="Courier New" w:eastAsia="Courier New" w:hAnsi="Courier New" w:cs="Courier New"/>
      </w:rPr>
    </w:lvl>
    <w:lvl w:ilvl="8">
      <w:start w:val="1"/>
      <w:numFmt w:val="bullet"/>
      <w:lvlText w:val="▪"/>
      <w:lvlJc w:val="left"/>
      <w:pPr>
        <w:ind w:left="6852" w:hanging="360"/>
      </w:pPr>
      <w:rPr>
        <w:rFonts w:ascii="Noto Sans Symbols" w:eastAsia="Noto Sans Symbols" w:hAnsi="Noto Sans Symbols" w:cs="Noto Sans Symbols"/>
      </w:rPr>
    </w:lvl>
  </w:abstractNum>
  <w:abstractNum w:abstractNumId="1" w15:restartNumberingAfterBreak="0">
    <w:nsid w:val="12B4358A"/>
    <w:multiLevelType w:val="multilevel"/>
    <w:tmpl w:val="5D2A7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322379"/>
    <w:multiLevelType w:val="multilevel"/>
    <w:tmpl w:val="22183C6A"/>
    <w:lvl w:ilvl="0">
      <w:start w:val="1"/>
      <w:numFmt w:val="bullet"/>
      <w:lvlText w:val="●"/>
      <w:lvlJc w:val="left"/>
      <w:pPr>
        <w:ind w:left="1092" w:hanging="360"/>
      </w:pPr>
      <w:rPr>
        <w:rFonts w:ascii="Noto Sans Symbols" w:eastAsia="Noto Sans Symbols" w:hAnsi="Noto Sans Symbols" w:cs="Noto Sans Symbols"/>
      </w:rPr>
    </w:lvl>
    <w:lvl w:ilvl="1">
      <w:start w:val="1"/>
      <w:numFmt w:val="bullet"/>
      <w:lvlText w:val="o"/>
      <w:lvlJc w:val="left"/>
      <w:pPr>
        <w:ind w:left="1812" w:hanging="360"/>
      </w:pPr>
      <w:rPr>
        <w:rFonts w:ascii="Courier New" w:eastAsia="Courier New" w:hAnsi="Courier New" w:cs="Courier New"/>
      </w:rPr>
    </w:lvl>
    <w:lvl w:ilvl="2">
      <w:start w:val="1"/>
      <w:numFmt w:val="bullet"/>
      <w:lvlText w:val="▪"/>
      <w:lvlJc w:val="left"/>
      <w:pPr>
        <w:ind w:left="2532" w:hanging="360"/>
      </w:pPr>
      <w:rPr>
        <w:rFonts w:ascii="Noto Sans Symbols" w:eastAsia="Noto Sans Symbols" w:hAnsi="Noto Sans Symbols" w:cs="Noto Sans Symbols"/>
      </w:rPr>
    </w:lvl>
    <w:lvl w:ilvl="3">
      <w:start w:val="1"/>
      <w:numFmt w:val="bullet"/>
      <w:lvlText w:val="●"/>
      <w:lvlJc w:val="left"/>
      <w:pPr>
        <w:ind w:left="3252" w:hanging="360"/>
      </w:pPr>
      <w:rPr>
        <w:rFonts w:ascii="Noto Sans Symbols" w:eastAsia="Noto Sans Symbols" w:hAnsi="Noto Sans Symbols" w:cs="Noto Sans Symbols"/>
      </w:rPr>
    </w:lvl>
    <w:lvl w:ilvl="4">
      <w:start w:val="1"/>
      <w:numFmt w:val="bullet"/>
      <w:lvlText w:val="o"/>
      <w:lvlJc w:val="left"/>
      <w:pPr>
        <w:ind w:left="3972" w:hanging="360"/>
      </w:pPr>
      <w:rPr>
        <w:rFonts w:ascii="Courier New" w:eastAsia="Courier New" w:hAnsi="Courier New" w:cs="Courier New"/>
      </w:rPr>
    </w:lvl>
    <w:lvl w:ilvl="5">
      <w:start w:val="1"/>
      <w:numFmt w:val="bullet"/>
      <w:lvlText w:val="▪"/>
      <w:lvlJc w:val="left"/>
      <w:pPr>
        <w:ind w:left="4692" w:hanging="360"/>
      </w:pPr>
      <w:rPr>
        <w:rFonts w:ascii="Noto Sans Symbols" w:eastAsia="Noto Sans Symbols" w:hAnsi="Noto Sans Symbols" w:cs="Noto Sans Symbols"/>
      </w:rPr>
    </w:lvl>
    <w:lvl w:ilvl="6">
      <w:start w:val="1"/>
      <w:numFmt w:val="bullet"/>
      <w:lvlText w:val="●"/>
      <w:lvlJc w:val="left"/>
      <w:pPr>
        <w:ind w:left="5412" w:hanging="360"/>
      </w:pPr>
      <w:rPr>
        <w:rFonts w:ascii="Noto Sans Symbols" w:eastAsia="Noto Sans Symbols" w:hAnsi="Noto Sans Symbols" w:cs="Noto Sans Symbols"/>
      </w:rPr>
    </w:lvl>
    <w:lvl w:ilvl="7">
      <w:start w:val="1"/>
      <w:numFmt w:val="bullet"/>
      <w:lvlText w:val="o"/>
      <w:lvlJc w:val="left"/>
      <w:pPr>
        <w:ind w:left="6132" w:hanging="360"/>
      </w:pPr>
      <w:rPr>
        <w:rFonts w:ascii="Courier New" w:eastAsia="Courier New" w:hAnsi="Courier New" w:cs="Courier New"/>
      </w:rPr>
    </w:lvl>
    <w:lvl w:ilvl="8">
      <w:start w:val="1"/>
      <w:numFmt w:val="bullet"/>
      <w:lvlText w:val="▪"/>
      <w:lvlJc w:val="left"/>
      <w:pPr>
        <w:ind w:left="6852" w:hanging="360"/>
      </w:pPr>
      <w:rPr>
        <w:rFonts w:ascii="Noto Sans Symbols" w:eastAsia="Noto Sans Symbols" w:hAnsi="Noto Sans Symbols" w:cs="Noto Sans Symbols"/>
      </w:rPr>
    </w:lvl>
  </w:abstractNum>
  <w:abstractNum w:abstractNumId="3" w15:restartNumberingAfterBreak="0">
    <w:nsid w:val="3C850D37"/>
    <w:multiLevelType w:val="multilevel"/>
    <w:tmpl w:val="524EFE7E"/>
    <w:lvl w:ilvl="0">
      <w:start w:val="1"/>
      <w:numFmt w:val="decimal"/>
      <w:lvlText w:val="%1."/>
      <w:lvlJc w:val="left"/>
      <w:pPr>
        <w:ind w:left="720" w:hanging="360"/>
      </w:pPr>
      <w:rPr>
        <w:b w:val="0"/>
        <w:sz w:val="19"/>
        <w:szCs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445562"/>
    <w:multiLevelType w:val="multilevel"/>
    <w:tmpl w:val="C7140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463501">
    <w:abstractNumId w:val="4"/>
  </w:num>
  <w:num w:numId="2" w16cid:durableId="1532919700">
    <w:abstractNumId w:val="1"/>
  </w:num>
  <w:num w:numId="3" w16cid:durableId="2057313202">
    <w:abstractNumId w:val="0"/>
  </w:num>
  <w:num w:numId="4" w16cid:durableId="1438795168">
    <w:abstractNumId w:val="2"/>
  </w:num>
  <w:num w:numId="5" w16cid:durableId="1773743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90"/>
    <w:rsid w:val="002B7E90"/>
    <w:rsid w:val="00540D29"/>
    <w:rsid w:val="00656999"/>
    <w:rsid w:val="00C54CB3"/>
    <w:rsid w:val="00D4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25FD"/>
  <w15:docId w15:val="{FB2725A0-9ECC-40B5-84EF-CFC01798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line="276" w:lineRule="auto"/>
      <w:ind w:left="720"/>
    </w:pPr>
    <w:rPr>
      <w:rFonts w:ascii="Arial" w:hAnsi="Arial" w:cs="Arial Unicode MS"/>
      <w:color w:val="000000"/>
      <w:sz w:val="22"/>
      <w:szCs w:val="22"/>
      <w:u w:color="000000"/>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paragraph" w:styleId="Revision">
    <w:name w:val="Revision"/>
    <w:hidden/>
    <w:uiPriority w:val="99"/>
    <w:semiHidden/>
    <w:rsid w:val="00A94A0B"/>
  </w:style>
  <w:style w:type="character" w:styleId="CommentReference">
    <w:name w:val="annotation reference"/>
    <w:basedOn w:val="DefaultParagraphFont"/>
    <w:uiPriority w:val="99"/>
    <w:semiHidden/>
    <w:unhideWhenUsed/>
    <w:rsid w:val="0064486D"/>
    <w:rPr>
      <w:sz w:val="16"/>
      <w:szCs w:val="16"/>
    </w:rPr>
  </w:style>
  <w:style w:type="paragraph" w:styleId="CommentText">
    <w:name w:val="annotation text"/>
    <w:basedOn w:val="Normal"/>
    <w:link w:val="CommentTextChar"/>
    <w:uiPriority w:val="99"/>
    <w:unhideWhenUsed/>
    <w:rsid w:val="0064486D"/>
    <w:rPr>
      <w:sz w:val="20"/>
      <w:szCs w:val="20"/>
    </w:rPr>
  </w:style>
  <w:style w:type="character" w:customStyle="1" w:styleId="CommentTextChar">
    <w:name w:val="Comment Text Char"/>
    <w:basedOn w:val="DefaultParagraphFont"/>
    <w:link w:val="CommentText"/>
    <w:uiPriority w:val="99"/>
    <w:rsid w:val="0064486D"/>
  </w:style>
  <w:style w:type="paragraph" w:styleId="CommentSubject">
    <w:name w:val="annotation subject"/>
    <w:basedOn w:val="CommentText"/>
    <w:next w:val="CommentText"/>
    <w:link w:val="CommentSubjectChar"/>
    <w:uiPriority w:val="99"/>
    <w:semiHidden/>
    <w:unhideWhenUsed/>
    <w:rsid w:val="0064486D"/>
    <w:rPr>
      <w:b/>
      <w:bCs/>
    </w:rPr>
  </w:style>
  <w:style w:type="character" w:customStyle="1" w:styleId="CommentSubjectChar">
    <w:name w:val="Comment Subject Char"/>
    <w:basedOn w:val="CommentTextChar"/>
    <w:link w:val="CommentSubject"/>
    <w:uiPriority w:val="99"/>
    <w:semiHidden/>
    <w:rsid w:val="0064486D"/>
    <w:rPr>
      <w:b/>
      <w:bCs/>
    </w:rPr>
  </w:style>
  <w:style w:type="table" w:styleId="TableGrid">
    <w:name w:val="Table Grid"/>
    <w:basedOn w:val="TableNormal"/>
    <w:uiPriority w:val="39"/>
    <w:rsid w:val="00083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Jup9ig3w9uuLp+hp0+DlbHYoNQ==">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Clark</dc:creator>
  <cp:lastModifiedBy>William Clark</cp:lastModifiedBy>
  <cp:revision>4</cp:revision>
  <dcterms:created xsi:type="dcterms:W3CDTF">2023-08-12T15:45:00Z</dcterms:created>
  <dcterms:modified xsi:type="dcterms:W3CDTF">2023-11-11T17:58:00Z</dcterms:modified>
</cp:coreProperties>
</file>